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20AF" w:rsidRDefault="00087C40">
      <w:pPr>
        <w:pBdr>
          <w:top w:val="nil"/>
          <w:left w:val="nil"/>
          <w:bottom w:val="nil"/>
          <w:right w:val="nil"/>
          <w:between w:val="nil"/>
        </w:pBdr>
        <w:spacing w:line="276" w:lineRule="auto"/>
      </w:pPr>
      <w:bookmarkStart w:id="0" w:name="_GoBack"/>
      <w:bookmarkEnd w:id="0"/>
      <w:r>
        <w:pict w14:anchorId="1F5E77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50pt;height:50pt;z-index:251657728;visibility:hidden">
            <o:lock v:ext="edit" selection="t"/>
          </v:shape>
        </w:pict>
      </w:r>
    </w:p>
    <w:p w:rsidR="008320AF" w:rsidRDefault="00087C40">
      <w:pPr>
        <w:widowControl/>
        <w:pBdr>
          <w:top w:val="nil"/>
          <w:left w:val="nil"/>
          <w:bottom w:val="nil"/>
          <w:right w:val="nil"/>
          <w:between w:val="nil"/>
        </w:pBdr>
        <w:spacing w:before="240" w:after="120"/>
        <w:rPr>
          <w:rFonts w:ascii="Arial" w:eastAsia="Arial" w:hAnsi="Arial" w:cs="Arial"/>
          <w:b/>
          <w:color w:val="000000"/>
          <w:sz w:val="36"/>
          <w:szCs w:val="36"/>
        </w:rPr>
      </w:pPr>
      <w:bookmarkStart w:id="1" w:name="_heading=h.gjdgxs" w:colFirst="0" w:colLast="0"/>
      <w:bookmarkEnd w:id="1"/>
      <w:r>
        <w:rPr>
          <w:rFonts w:ascii="Arial" w:eastAsia="Arial" w:hAnsi="Arial" w:cs="Arial"/>
          <w:b/>
          <w:color w:val="000000"/>
          <w:sz w:val="36"/>
          <w:szCs w:val="36"/>
        </w:rPr>
        <w:t>Framework Schedule 7 (Call-Off Award Procedure</w:t>
      </w:r>
      <w:bookmarkStart w:id="2" w:name="bookmark=id.30j0zll" w:colFirst="0" w:colLast="0"/>
      <w:bookmarkEnd w:id="2"/>
      <w:r>
        <w:rPr>
          <w:rFonts w:ascii="Arial" w:eastAsia="Arial" w:hAnsi="Arial" w:cs="Arial"/>
          <w:b/>
          <w:color w:val="000000"/>
          <w:sz w:val="36"/>
          <w:szCs w:val="36"/>
        </w:rPr>
        <w:t xml:space="preserve">) </w:t>
      </w:r>
    </w:p>
    <w:p w:rsidR="008320AF" w:rsidRDefault="00087C40">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Procedure</w:t>
      </w:r>
    </w:p>
    <w:p w:rsidR="008320AF" w:rsidRDefault="00087C40">
      <w:pPr>
        <w:keepNext/>
        <w:widowControl/>
        <w:numPr>
          <w:ilvl w:val="0"/>
          <w:numId w:val="2"/>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rsidR="008320AF" w:rsidRDefault="00087C40">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rsidR="008320AF" w:rsidRDefault="00087C40">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If the potential Buyer can determine that:</w:t>
      </w:r>
    </w:p>
    <w:p w:rsidR="008320AF" w:rsidRDefault="00087C40">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w:t>
      </w:r>
      <w:r>
        <w:rPr>
          <w:rFonts w:ascii="Arial" w:eastAsia="Arial" w:hAnsi="Arial" w:cs="Arial"/>
          <w:color w:val="000000"/>
          <w:sz w:val="24"/>
          <w:szCs w:val="24"/>
        </w:rPr>
        <w:t>bles can be met by the Suppliers’ catalogues and description of the Deliverables as set out in Framework Schedule 1 (Specification) and Framework Schedule 2 (Framework Tender); and</w:t>
      </w:r>
    </w:p>
    <w:p w:rsidR="008320AF" w:rsidRDefault="00087C40">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w:t>
      </w:r>
      <w:r>
        <w:rPr>
          <w:rFonts w:ascii="Arial" w:eastAsia="Arial" w:hAnsi="Arial" w:cs="Arial"/>
          <w:color w:val="000000"/>
          <w:sz w:val="24"/>
          <w:szCs w:val="24"/>
        </w:rPr>
        <w:t>ntract and do not require amendment or any supplementary terms and conditions;</w:t>
      </w:r>
    </w:p>
    <w:p w:rsidR="008320AF" w:rsidRDefault="00087C40">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procedure set out in Paragraph 2 below.</w:t>
      </w:r>
    </w:p>
    <w:p w:rsidR="008320AF" w:rsidRDefault="00087C40">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 not laid down in this Contract and the potential Buyer:</w:t>
      </w:r>
    </w:p>
    <w:p w:rsidR="008320AF" w:rsidRDefault="00087C40">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rsidR="008320AF" w:rsidRDefault="00087C40">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w:t>
      </w:r>
      <w:r>
        <w:rPr>
          <w:rFonts w:ascii="Arial" w:eastAsia="Arial" w:hAnsi="Arial" w:cs="Arial"/>
          <w:color w:val="000000"/>
          <w:sz w:val="24"/>
          <w:szCs w:val="24"/>
        </w:rPr>
        <w:t>mework Contract to reflect its Deliverables to the extent permitted by and in accordance with the Regulations;</w:t>
      </w:r>
    </w:p>
    <w:p w:rsidR="008320AF" w:rsidRDefault="00087C40">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r>
        <w:rPr>
          <w:rFonts w:ascii="Arial" w:eastAsia="Arial" w:hAnsi="Arial" w:cs="Arial"/>
          <w:color w:val="000000"/>
          <w:sz w:val="24"/>
          <w:szCs w:val="24"/>
        </w:rPr>
        <w:t>then the Buyer may award a Call-Off Contract in accordance with the Further Competition Procedure set out in Paragraph 3 below.</w:t>
      </w:r>
    </w:p>
    <w:p w:rsidR="008320AF" w:rsidRDefault="00087C40">
      <w:pPr>
        <w:widowControl/>
        <w:numPr>
          <w:ilvl w:val="0"/>
          <w:numId w:val="1"/>
        </w:numPr>
        <w:pBdr>
          <w:top w:val="nil"/>
          <w:left w:val="nil"/>
          <w:bottom w:val="nil"/>
          <w:right w:val="nil"/>
          <w:between w:val="nil"/>
        </w:pBdr>
        <w:tabs>
          <w:tab w:val="left" w:pos="4536"/>
        </w:tabs>
        <w:spacing w:after="220"/>
        <w:rPr>
          <w:rFonts w:ascii="Arial" w:eastAsia="Arial" w:hAnsi="Arial" w:cs="Arial"/>
          <w:b/>
          <w:color w:val="000000"/>
          <w:sz w:val="24"/>
          <w:szCs w:val="24"/>
        </w:rPr>
      </w:pPr>
      <w:r>
        <w:rPr>
          <w:rFonts w:ascii="Arial" w:eastAsia="Arial" w:hAnsi="Arial" w:cs="Arial"/>
          <w:b/>
          <w:color w:val="000000"/>
          <w:sz w:val="24"/>
          <w:szCs w:val="24"/>
        </w:rPr>
        <w:t xml:space="preserve">Direct Ordering without a further competition </w:t>
      </w:r>
    </w:p>
    <w:p w:rsidR="008320AF" w:rsidRDefault="00087C40">
      <w:pPr>
        <w:widowControl/>
        <w:pBdr>
          <w:top w:val="nil"/>
          <w:left w:val="nil"/>
          <w:bottom w:val="nil"/>
          <w:right w:val="nil"/>
          <w:between w:val="nil"/>
        </w:pBdr>
        <w:tabs>
          <w:tab w:val="left" w:pos="4536"/>
        </w:tabs>
        <w:spacing w:after="220"/>
        <w:ind w:left="360"/>
        <w:rPr>
          <w:rFonts w:ascii="Arial" w:eastAsia="Arial" w:hAnsi="Arial" w:cs="Arial"/>
          <w:sz w:val="24"/>
          <w:szCs w:val="24"/>
        </w:rPr>
      </w:pPr>
      <w:r>
        <w:rPr>
          <w:rFonts w:ascii="Arial" w:eastAsia="Arial" w:hAnsi="Arial" w:cs="Arial"/>
          <w:sz w:val="24"/>
          <w:szCs w:val="24"/>
        </w:rPr>
        <w:t xml:space="preserve">This option is not applicable to this framework </w:t>
      </w:r>
    </w:p>
    <w:p w:rsidR="008320AF" w:rsidRDefault="00087C40">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rsidR="008320AF" w:rsidRDefault="00087C40">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rsidR="008320AF" w:rsidRDefault="00087C40">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rsidR="008320AF" w:rsidRDefault="00087C40">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develop a Statement of Requirements setting out its requirements for the Deliverables and identify the Suppliers capable of supplying the them;</w:t>
      </w:r>
    </w:p>
    <w:p w:rsidR="008320AF" w:rsidRDefault="00087C40">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rsidR="008320AF" w:rsidRDefault="00087C40">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lastRenderedPageBreak/>
        <w:t>invite tenders by conducting a Further Competition Procedure for its Deliverabl</w:t>
      </w:r>
      <w:r>
        <w:rPr>
          <w:rFonts w:ascii="Arial" w:eastAsia="Arial" w:hAnsi="Arial" w:cs="Arial"/>
          <w:color w:val="000000"/>
          <w:sz w:val="24"/>
          <w:szCs w:val="24"/>
        </w:rPr>
        <w:t>es in accordance with the Regulations and in particular:</w:t>
      </w:r>
    </w:p>
    <w:p w:rsidR="008320AF" w:rsidRDefault="00087C40">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w:t>
      </w:r>
      <w:r>
        <w:rPr>
          <w:rFonts w:ascii="Arial" w:eastAsia="Arial" w:hAnsi="Arial" w:cs="Arial"/>
          <w:color w:val="000000"/>
          <w:sz w:val="24"/>
          <w:szCs w:val="24"/>
        </w:rPr>
        <w:t>etition Procedure in accordance with the procedures set out in Paragraph 3; or</w:t>
      </w:r>
    </w:p>
    <w:p w:rsidR="008320AF" w:rsidRDefault="00087C40">
      <w:pPr>
        <w:keepNext/>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rsidR="008320AF" w:rsidRDefault="00087C40">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rsidR="008320AF" w:rsidRDefault="00087C40">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set a time limit </w:t>
      </w:r>
      <w:r>
        <w:rPr>
          <w:rFonts w:ascii="Arial" w:eastAsia="Arial" w:hAnsi="Arial" w:cs="Arial"/>
          <w:color w:val="000000"/>
          <w:sz w:val="24"/>
          <w:szCs w:val="24"/>
        </w:rPr>
        <w:t>for the receipt by it of the tenders which takes into account factors such as the complexity of the subject matter of the proposed Call-Off Contract and the time needed to submit tenders; and</w:t>
      </w:r>
    </w:p>
    <w:p w:rsidR="008320AF" w:rsidRDefault="00087C40">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keep each tender confidential until the time limit set out for the return of tenders has expired.</w:t>
      </w:r>
    </w:p>
    <w:p w:rsidR="008320AF" w:rsidRDefault="00087C40">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w:t>
      </w:r>
      <w:r>
        <w:rPr>
          <w:rFonts w:ascii="Arial" w:eastAsia="Arial" w:hAnsi="Arial" w:cs="Arial"/>
          <w:color w:val="000000"/>
          <w:sz w:val="24"/>
          <w:szCs w:val="24"/>
        </w:rPr>
        <w:t>ion to award a Call-Off Contract for its Deliverables;</w:t>
      </w:r>
    </w:p>
    <w:p w:rsidR="008320AF" w:rsidRDefault="00087C40">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on the basis set out above, award its Call-Off Contract to the successful Supplier in accordance with Paragraph 6. The Call-Off Contract shall:</w:t>
      </w:r>
    </w:p>
    <w:p w:rsidR="008320AF" w:rsidRDefault="00087C40">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rsidR="008320AF" w:rsidRDefault="00087C40">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rsidR="008320AF" w:rsidRDefault="00087C40">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charges payable for the Deliverables in accordance with the tender submitted by the successful Supplier; and</w:t>
      </w:r>
    </w:p>
    <w:p w:rsidR="008320AF" w:rsidRDefault="00087C40">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w:t>
      </w:r>
      <w:r>
        <w:rPr>
          <w:rFonts w:ascii="Arial" w:eastAsia="Arial" w:hAnsi="Arial" w:cs="Arial"/>
          <w:color w:val="000000"/>
          <w:sz w:val="24"/>
          <w:szCs w:val="24"/>
        </w:rPr>
        <w:t>ed by the Buyer in accordance with Paragraph 3.1.2. above) applicable to the Deliverables,</w:t>
      </w:r>
    </w:p>
    <w:p w:rsidR="008320AF" w:rsidRDefault="00087C40">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provide unsuccessful Suppliers with written feedback in relation to the reasons why their tenders were unsuccessful.</w:t>
      </w:r>
    </w:p>
    <w:p w:rsidR="008320AF" w:rsidRDefault="00087C40">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rsidR="008320AF" w:rsidRDefault="00087C40">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by the time and date specified by the Buyer following an invitation to tender pursuant to Paragraph 3.1.3 above, provide CCS and the Buyer with either:</w:t>
      </w:r>
    </w:p>
    <w:p w:rsidR="008320AF" w:rsidRDefault="008320AF">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rsidR="008320AF" w:rsidRDefault="00087C40">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 statement to the effect that it does not wish to tender in relation to the Deliverables; or</w:t>
      </w:r>
    </w:p>
    <w:p w:rsidR="008320AF" w:rsidRDefault="00087C40">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full details of its tender made in respect of the relevant Statement of Requirements. In the event that the Supplier submits such a tender, it should include,</w:t>
      </w:r>
      <w:r>
        <w:rPr>
          <w:rFonts w:ascii="Arial" w:eastAsia="Arial" w:hAnsi="Arial" w:cs="Arial"/>
          <w:color w:val="000000"/>
          <w:sz w:val="24"/>
          <w:szCs w:val="24"/>
        </w:rPr>
        <w:t xml:space="preserve"> as a minimum:</w:t>
      </w:r>
    </w:p>
    <w:p w:rsidR="008320AF" w:rsidRDefault="00087C40">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rsidR="008320AF" w:rsidRDefault="00087C40">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w:t>
      </w:r>
      <w:r>
        <w:rPr>
          <w:rFonts w:ascii="Arial" w:eastAsia="Arial" w:hAnsi="Arial" w:cs="Arial"/>
          <w:color w:val="000000"/>
          <w:sz w:val="24"/>
          <w:szCs w:val="24"/>
        </w:rPr>
        <w:t>tement of Requirements;</w:t>
      </w:r>
    </w:p>
    <w:p w:rsidR="008320AF" w:rsidRDefault="00087C40">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rsidR="008320AF" w:rsidRDefault="00087C40">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rsidR="008320AF" w:rsidRDefault="00087C40">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confirmation of discounts applicable to the Deliv</w:t>
      </w:r>
      <w:r>
        <w:rPr>
          <w:rFonts w:ascii="Arial" w:eastAsia="Arial" w:hAnsi="Arial" w:cs="Arial"/>
          <w:color w:val="000000"/>
          <w:sz w:val="24"/>
          <w:szCs w:val="24"/>
        </w:rPr>
        <w:t>erables, as referenced in Framework Schedule 3 (Framework Prices) (if applicable).</w:t>
      </w:r>
    </w:p>
    <w:p w:rsidR="008320AF" w:rsidRDefault="00087C40">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ensure that any prices submitted in relation to a Further Competition Procedure held pursuant to this Paragraph 3 shall be based on the Charging Structure</w:t>
      </w:r>
      <w:r>
        <w:rPr>
          <w:rFonts w:ascii="Arial" w:eastAsia="Arial" w:hAnsi="Arial" w:cs="Arial"/>
          <w:color w:val="000000"/>
          <w:sz w:val="24"/>
          <w:szCs w:val="24"/>
        </w:rPr>
        <w:t xml:space="preserve"> and take into account any discount to which the Buyer may be entitled as set out in Framework Schedule 3 (Framework Prices).</w:t>
      </w:r>
    </w:p>
    <w:p w:rsidR="008320AF" w:rsidRDefault="00087C40">
      <w:pPr>
        <w:keepNext/>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rsidR="008320AF" w:rsidRDefault="00087C40">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w:t>
      </w:r>
      <w:r>
        <w:rPr>
          <w:rFonts w:ascii="Arial" w:eastAsia="Arial" w:hAnsi="Arial" w:cs="Arial"/>
          <w:color w:val="000000"/>
          <w:sz w:val="24"/>
          <w:szCs w:val="24"/>
        </w:rPr>
        <w:t>sued by the Buyer in accordance with the Call-Off Procedure); and</w:t>
      </w:r>
    </w:p>
    <w:p w:rsidR="008320AF" w:rsidRDefault="00087C40">
      <w:pPr>
        <w:widowControl/>
        <w:numPr>
          <w:ilvl w:val="3"/>
          <w:numId w:val="1"/>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are made and will be made in good faith and that the Supplier has not fixed or adjusted and will not  fix or adjust the price of the tender by or in acc</w:t>
      </w:r>
      <w:r>
        <w:rPr>
          <w:rFonts w:ascii="Arial" w:eastAsia="Arial" w:hAnsi="Arial" w:cs="Arial"/>
          <w:color w:val="000000"/>
          <w:sz w:val="24"/>
          <w:szCs w:val="24"/>
        </w:rPr>
        <w:t>ordance with any agreement or arrangement with any other person. The Supplier certifies that it has not and undertakes that it will not:</w:t>
      </w:r>
    </w:p>
    <w:p w:rsidR="008320AF" w:rsidRDefault="00087C40">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 xml:space="preserve">communicate to any person other than the person inviting these tenders the amount or approximate amount of the tender, </w:t>
      </w:r>
      <w:r>
        <w:rPr>
          <w:rFonts w:ascii="Arial" w:eastAsia="Arial" w:hAnsi="Arial" w:cs="Arial"/>
          <w:color w:val="000000"/>
          <w:sz w:val="24"/>
          <w:szCs w:val="24"/>
        </w:rPr>
        <w:t>except where the disclosure, in confidence, of the approximate amount of the tender was necessary to obtain quotations required for the preparation of the tender; and</w:t>
      </w:r>
    </w:p>
    <w:p w:rsidR="008320AF" w:rsidRDefault="00087C40">
      <w:pPr>
        <w:widowControl/>
        <w:numPr>
          <w:ilvl w:val="4"/>
          <w:numId w:val="1"/>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enter into any arrangement or agreement with any other person that he or the other person</w:t>
      </w:r>
      <w:r>
        <w:rPr>
          <w:rFonts w:ascii="Arial" w:eastAsia="Arial" w:hAnsi="Arial" w:cs="Arial"/>
          <w:color w:val="000000"/>
          <w:sz w:val="24"/>
          <w:szCs w:val="24"/>
        </w:rPr>
        <w:t>(s) shall refrain from submitting a tender or as to the amount of any tenders to be submitted.</w:t>
      </w:r>
    </w:p>
    <w:p w:rsidR="008320AF" w:rsidRDefault="00087C40">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rsidR="008320AF" w:rsidRDefault="00087C40">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w:t>
      </w:r>
      <w:r>
        <w:rPr>
          <w:rFonts w:ascii="Arial" w:eastAsia="Arial" w:hAnsi="Arial" w:cs="Arial"/>
          <w:color w:val="000000"/>
          <w:sz w:val="24"/>
          <w:szCs w:val="24"/>
        </w:rPr>
        <w:t>hat nothing in this Contract shall oblige the Buyer to award any Call-Off Contract.</w:t>
      </w:r>
    </w:p>
    <w:p w:rsidR="008320AF" w:rsidRDefault="00087C40">
      <w:pPr>
        <w:keepNext/>
        <w:widowControl/>
        <w:numPr>
          <w:ilvl w:val="0"/>
          <w:numId w:val="1"/>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rsidR="008320AF" w:rsidRDefault="00087C40">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w:t>
      </w:r>
      <w:r>
        <w:rPr>
          <w:rFonts w:ascii="Arial" w:eastAsia="Arial" w:hAnsi="Arial" w:cs="Arial"/>
          <w:color w:val="000000"/>
          <w:sz w:val="24"/>
          <w:szCs w:val="24"/>
        </w:rPr>
        <w:t>t and that CCS is not responsible or accountable for and shall have no liability whatsoever, except where it is the Buyer, in relation to:</w:t>
      </w:r>
    </w:p>
    <w:p w:rsidR="008320AF" w:rsidRDefault="00087C40">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rsidR="008320AF" w:rsidRDefault="00087C40">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performance or non-performance of any Call-Off Contracts be</w:t>
      </w:r>
      <w:r>
        <w:rPr>
          <w:rFonts w:ascii="Arial" w:eastAsia="Arial" w:hAnsi="Arial" w:cs="Arial"/>
          <w:color w:val="000000"/>
          <w:sz w:val="24"/>
          <w:szCs w:val="24"/>
        </w:rPr>
        <w:t>tween the Supplier and Buyer entered into pursuant to this Contract.</w:t>
      </w:r>
    </w:p>
    <w:p w:rsidR="008320AF" w:rsidRDefault="00087C40">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rsidR="008320AF" w:rsidRDefault="00087C40">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 xml:space="preserve">Subject to Paragraphs 1 to 5 above and 7, a Buyer may award a Call-Off Contract with the Supplier by sending (including electronically) a signed </w:t>
      </w:r>
      <w:r>
        <w:rPr>
          <w:rFonts w:ascii="Arial" w:eastAsia="Arial" w:hAnsi="Arial" w:cs="Arial"/>
          <w:color w:val="000000"/>
          <w:sz w:val="24"/>
          <w:szCs w:val="24"/>
        </w:rPr>
        <w:t>order form substantially in the form (as may be amended or refined by the Buyer in accordance with Paragraph 3.1.2 above) of the Order Form Template set out in Framework Schedule 6 (Order Form Template and Call-Off Schedules).</w:t>
      </w:r>
    </w:p>
    <w:p w:rsidR="008320AF" w:rsidRDefault="00087C40">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w:t>
      </w:r>
      <w:r>
        <w:rPr>
          <w:rFonts w:ascii="Arial" w:eastAsia="Arial" w:hAnsi="Arial" w:cs="Arial"/>
          <w:color w:val="000000"/>
          <w:sz w:val="24"/>
          <w:szCs w:val="24"/>
        </w:rPr>
        <w:t>cument or communication (including any document or communication in the apparent form of a Call-Off Contract) which is not as described in this Paragraph 6 shall not constitute a Call-Off Contract under this Contract.</w:t>
      </w:r>
    </w:p>
    <w:p w:rsidR="008320AF" w:rsidRDefault="00087C40">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On receipt of an order form as described in Paragraph 6.1 from a Buyer the Supplier shall accept the Call-Off Contract by promptly signing and returning (including by electronic means) a copy of the order form to the Buyer concerned.</w:t>
      </w:r>
    </w:p>
    <w:p w:rsidR="008320AF" w:rsidRDefault="00087C40">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On receipt of the coun</w:t>
      </w:r>
      <w:r>
        <w:rPr>
          <w:rFonts w:ascii="Arial" w:eastAsia="Arial" w:hAnsi="Arial" w:cs="Arial"/>
          <w:color w:val="000000"/>
          <w:sz w:val="24"/>
          <w:szCs w:val="24"/>
        </w:rPr>
        <w:t>tersigned Order Form from the Supplier, the Buyer shall send (including by electronic means) a written notice of receipt to the Supplier within two (2) Working Days and the Call Off Contract shall be formed with effect from the Call Off Start Date stated i</w:t>
      </w:r>
      <w:r>
        <w:rPr>
          <w:rFonts w:ascii="Arial" w:eastAsia="Arial" w:hAnsi="Arial" w:cs="Arial"/>
          <w:color w:val="000000"/>
          <w:sz w:val="24"/>
          <w:szCs w:val="24"/>
        </w:rPr>
        <w:t>n the Order Form.</w:t>
      </w:r>
    </w:p>
    <w:p w:rsidR="008320AF" w:rsidRDefault="00087C40">
      <w:pPr>
        <w:keepNext/>
        <w:widowControl/>
        <w:numPr>
          <w:ilvl w:val="0"/>
          <w:numId w:val="1"/>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How e-auctions work</w:t>
      </w:r>
    </w:p>
    <w:p w:rsidR="008320AF" w:rsidRDefault="00087C40">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shall be entitled to include a reverse auction in the Further Competition Procedure in accordance with the rules laid down by the Buyer and the Regulations.</w:t>
      </w:r>
    </w:p>
    <w:p w:rsidR="008320AF" w:rsidRDefault="00087C40">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Where Buyer wishes to undertake an electronic rever</w:t>
      </w:r>
      <w:r>
        <w:rPr>
          <w:rFonts w:ascii="Arial" w:eastAsia="Arial" w:hAnsi="Arial" w:cs="Arial"/>
          <w:color w:val="000000"/>
          <w:sz w:val="24"/>
          <w:szCs w:val="24"/>
        </w:rPr>
        <w:t>se auction, where Suppliers compete in real time by bidding as the auction unfolds (</w:t>
      </w:r>
      <w:r>
        <w:rPr>
          <w:rFonts w:ascii="Arial" w:eastAsia="Arial" w:hAnsi="Arial" w:cs="Arial"/>
          <w:b/>
          <w:color w:val="000000"/>
          <w:sz w:val="24"/>
          <w:szCs w:val="24"/>
        </w:rPr>
        <w:t>"Electronic Reverse Auction"</w:t>
      </w:r>
      <w:r>
        <w:rPr>
          <w:rFonts w:ascii="Arial" w:eastAsia="Arial" w:hAnsi="Arial" w:cs="Arial"/>
          <w:color w:val="000000"/>
          <w:sz w:val="24"/>
          <w:szCs w:val="24"/>
        </w:rPr>
        <w:t>) then before undertaking it, the Buyer will make an initial full evaluation of all tenders received in response to its Statement of Requirement</w:t>
      </w:r>
      <w:r>
        <w:rPr>
          <w:rFonts w:ascii="Arial" w:eastAsia="Arial" w:hAnsi="Arial" w:cs="Arial"/>
          <w:color w:val="000000"/>
          <w:sz w:val="24"/>
          <w:szCs w:val="24"/>
        </w:rPr>
        <w:t>s. The Buyer will then invite to the Electronic Reverse Auction only those tenders that are admissible in accordance with the Regulations. The invitation shall be accompanied by the outcome of the full initial evaluation of the relevant tenders.</w:t>
      </w:r>
    </w:p>
    <w:p w:rsidR="008320AF" w:rsidRDefault="00087C40">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Buyer </w:t>
      </w:r>
      <w:r>
        <w:rPr>
          <w:rFonts w:ascii="Arial" w:eastAsia="Arial" w:hAnsi="Arial" w:cs="Arial"/>
          <w:color w:val="000000"/>
          <w:sz w:val="24"/>
          <w:szCs w:val="24"/>
        </w:rPr>
        <w:t>will inform the Suppliers of the specification for the Electronic Reverse Auction which shall include:</w:t>
      </w:r>
    </w:p>
    <w:p w:rsidR="008320AF" w:rsidRDefault="00087C40">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information to be provided at auction, which must be expressed in figures or percentages of the specified quantifiable features;</w:t>
      </w:r>
    </w:p>
    <w:p w:rsidR="008320AF" w:rsidRDefault="00087C40">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mathematical formula to be used to determine automatic ranking of bids on the basis of new prices and/or new values submitted;  </w:t>
      </w:r>
    </w:p>
    <w:p w:rsidR="008320AF" w:rsidRDefault="00087C40">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any limits on the values which may be submitted;</w:t>
      </w:r>
    </w:p>
    <w:p w:rsidR="008320AF" w:rsidRDefault="00087C40">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description of any information which will be made available to Suppliers in the course of the Electronic Reverse Auction, and when it will be made available to them;</w:t>
      </w:r>
    </w:p>
    <w:p w:rsidR="008320AF" w:rsidRDefault="00087C40">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conditions under which Suppliers will be able to bid and, in particular, the minimum</w:t>
      </w:r>
      <w:r>
        <w:rPr>
          <w:rFonts w:ascii="Arial" w:eastAsia="Arial" w:hAnsi="Arial" w:cs="Arial"/>
          <w:color w:val="000000"/>
          <w:sz w:val="24"/>
          <w:szCs w:val="24"/>
        </w:rPr>
        <w:t xml:space="preserve"> differences which will, where appropriate, be required when bidding;</w:t>
      </w:r>
    </w:p>
    <w:p w:rsidR="008320AF" w:rsidRDefault="00087C40">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relevant information concerning the electronic equipment used and the arrangements and technical specification for connection;</w:t>
      </w:r>
    </w:p>
    <w:p w:rsidR="008320AF" w:rsidRDefault="00087C40">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7.5, the date and time of the start of</w:t>
      </w:r>
      <w:r>
        <w:rPr>
          <w:rFonts w:ascii="Arial" w:eastAsia="Arial" w:hAnsi="Arial" w:cs="Arial"/>
          <w:color w:val="000000"/>
          <w:sz w:val="24"/>
          <w:szCs w:val="24"/>
        </w:rPr>
        <w:t xml:space="preserve"> the Electronic Reverse Auction; and</w:t>
      </w:r>
    </w:p>
    <w:p w:rsidR="008320AF" w:rsidRDefault="00087C40">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details of when and how the Electronic Reverse Auction will close.</w:t>
      </w:r>
    </w:p>
    <w:p w:rsidR="008320AF" w:rsidRDefault="00087C40">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Electronic Reverse Auction may not start sooner than two (2) Working Days after the date on which the specification for the Electronic Reverse Aucti</w:t>
      </w:r>
      <w:r>
        <w:rPr>
          <w:rFonts w:ascii="Arial" w:eastAsia="Arial" w:hAnsi="Arial" w:cs="Arial"/>
          <w:color w:val="000000"/>
          <w:sz w:val="24"/>
          <w:szCs w:val="24"/>
        </w:rPr>
        <w:t>on has been issued.</w:t>
      </w:r>
    </w:p>
    <w:p w:rsidR="008320AF" w:rsidRDefault="00087C40">
      <w:pPr>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Throughout each phase of the Electronic Reverse Auction the Buyer will communicate to all Suppliers sufficient information to enable them to ascertain their relative ranking.</w:t>
      </w:r>
    </w:p>
    <w:p w:rsidR="008320AF" w:rsidRDefault="00087C40">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and agrees that:</w:t>
      </w:r>
    </w:p>
    <w:p w:rsidR="008320AF" w:rsidRDefault="00087C40">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Buyer and its officers, servants, agents, group companies, assignees and customers (including CCS) do not guarantee that its access to the Electronic Reverse Auction will be uninterrupted or error-free;</w:t>
      </w:r>
    </w:p>
    <w:p w:rsidR="008320AF" w:rsidRDefault="00087C40">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its access to the Electronic Reverse Auction may </w:t>
      </w:r>
      <w:r>
        <w:rPr>
          <w:rFonts w:ascii="Arial" w:eastAsia="Arial" w:hAnsi="Arial" w:cs="Arial"/>
          <w:color w:val="000000"/>
          <w:sz w:val="24"/>
          <w:szCs w:val="24"/>
        </w:rPr>
        <w:t>occasionally be restricted to allow for repairs or maintenance; and</w:t>
      </w:r>
    </w:p>
    <w:p w:rsidR="008320AF" w:rsidRDefault="00087C40">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 will comply with all such rules that may be imposed by the Buyer in relation to the operation of the Electronic Reverse Auction.</w:t>
      </w:r>
    </w:p>
    <w:p w:rsidR="008320AF" w:rsidRDefault="00087C40">
      <w:pPr>
        <w:keepNext/>
        <w:widowControl/>
        <w:numPr>
          <w:ilvl w:val="1"/>
          <w:numId w:val="1"/>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will close the Electronic Reverse Auction on t</w:t>
      </w:r>
      <w:r>
        <w:rPr>
          <w:rFonts w:ascii="Arial" w:eastAsia="Arial" w:hAnsi="Arial" w:cs="Arial"/>
          <w:color w:val="000000"/>
          <w:sz w:val="24"/>
          <w:szCs w:val="24"/>
        </w:rPr>
        <w:t>he basis of:</w:t>
      </w:r>
    </w:p>
    <w:p w:rsidR="008320AF" w:rsidRDefault="00087C40">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date and time fixed in advance;</w:t>
      </w:r>
    </w:p>
    <w:p w:rsidR="008320AF" w:rsidRDefault="00087C40">
      <w:pPr>
        <w:widowControl/>
        <w:numPr>
          <w:ilvl w:val="3"/>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no new prices or values meeting the minimum differences required pursuant to Paragraph 7.3 have been received within the prescribed elapsed time period; or</w:t>
      </w:r>
    </w:p>
    <w:p w:rsidR="008320AF" w:rsidRDefault="00087C40">
      <w:pPr>
        <w:widowControl/>
        <w:numPr>
          <w:ilvl w:val="2"/>
          <w:numId w:val="1"/>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when all the phases have been completed.</w:t>
      </w:r>
    </w:p>
    <w:p w:rsidR="008320AF" w:rsidRDefault="00087C40">
      <w:pPr>
        <w:rPr>
          <w:rFonts w:ascii="Arial" w:eastAsia="Arial" w:hAnsi="Arial" w:cs="Arial"/>
          <w:sz w:val="24"/>
          <w:szCs w:val="24"/>
        </w:rPr>
      </w:pPr>
      <w:r>
        <w:br w:type="page"/>
      </w:r>
    </w:p>
    <w:p w:rsidR="008320AF" w:rsidRDefault="008320AF">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rsidR="008320AF" w:rsidRDefault="00087C40">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rsidR="008320AF" w:rsidRDefault="00087C40">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rsidR="008320AF" w:rsidRDefault="00087C40">
      <w:pPr>
        <w:widowControl/>
        <w:numPr>
          <w:ilvl w:val="0"/>
          <w:numId w:val="3"/>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Call-Off Contract may be awarded on the basis of most economically advantageous tender </w:t>
      </w:r>
      <w:r>
        <w:rPr>
          <w:rFonts w:ascii="Arial" w:eastAsia="Arial" w:hAnsi="Arial" w:cs="Arial"/>
          <w:color w:val="000000"/>
          <w:sz w:val="24"/>
          <w:szCs w:val="24"/>
        </w:rPr>
        <w:t>("MEAT").</w:t>
      </w:r>
    </w:p>
    <w:p w:rsidR="008320AF" w:rsidRDefault="00087C40">
      <w:pPr>
        <w:rPr>
          <w:rFonts w:ascii="Arial" w:eastAsia="Arial" w:hAnsi="Arial" w:cs="Arial"/>
          <w:b/>
          <w:smallCaps/>
          <w:sz w:val="24"/>
          <w:szCs w:val="24"/>
        </w:rPr>
      </w:pPr>
      <w:r>
        <w:br w:type="page"/>
      </w:r>
    </w:p>
    <w:p w:rsidR="008320AF" w:rsidRDefault="00087C40">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Direct award criteria</w:t>
      </w:r>
    </w:p>
    <w:p w:rsidR="008320AF" w:rsidRDefault="00087C40">
      <w:pPr>
        <w:widowControl/>
        <w:pBdr>
          <w:top w:val="nil"/>
          <w:left w:val="nil"/>
          <w:bottom w:val="nil"/>
          <w:right w:val="nil"/>
          <w:between w:val="nil"/>
        </w:pBdr>
        <w:spacing w:before="120" w:after="240"/>
        <w:ind w:left="360"/>
        <w:jc w:val="both"/>
        <w:rPr>
          <w:rFonts w:ascii="Arial" w:eastAsia="Arial" w:hAnsi="Arial" w:cs="Arial"/>
          <w:b/>
          <w:color w:val="000000"/>
          <w:sz w:val="24"/>
          <w:szCs w:val="24"/>
        </w:rPr>
      </w:pPr>
      <w:r>
        <w:rPr>
          <w:rFonts w:ascii="Arial" w:eastAsia="Arial" w:hAnsi="Arial" w:cs="Arial"/>
          <w:b/>
          <w:smallCaps/>
          <w:color w:val="000000"/>
          <w:sz w:val="24"/>
          <w:szCs w:val="24"/>
        </w:rPr>
        <w:t>DIRECT ORDERING WITHOUT A FURTHER COMPETITION </w:t>
      </w:r>
    </w:p>
    <w:p w:rsidR="008320AF" w:rsidRDefault="00087C40">
      <w:pPr>
        <w:widowControl/>
        <w:pBdr>
          <w:top w:val="nil"/>
          <w:left w:val="nil"/>
          <w:bottom w:val="nil"/>
          <w:right w:val="nil"/>
          <w:between w:val="nil"/>
        </w:pBdr>
        <w:spacing w:before="240" w:after="120"/>
        <w:ind w:left="360"/>
        <w:jc w:val="both"/>
        <w:rPr>
          <w:rFonts w:ascii="Arial" w:eastAsia="Arial" w:hAnsi="Arial" w:cs="Arial"/>
          <w:color w:val="000000"/>
          <w:sz w:val="24"/>
          <w:szCs w:val="24"/>
        </w:rPr>
      </w:pPr>
      <w:r>
        <w:rPr>
          <w:rFonts w:ascii="Arial" w:eastAsia="Arial" w:hAnsi="Arial" w:cs="Arial"/>
          <w:sz w:val="24"/>
          <w:szCs w:val="24"/>
        </w:rPr>
        <w:t xml:space="preserve">Not applicable </w:t>
      </w:r>
    </w:p>
    <w:p w:rsidR="008320AF" w:rsidRDefault="008320AF">
      <w:pPr>
        <w:widowControl/>
        <w:pBdr>
          <w:top w:val="nil"/>
          <w:left w:val="nil"/>
          <w:bottom w:val="nil"/>
          <w:right w:val="nil"/>
          <w:between w:val="nil"/>
        </w:pBdr>
        <w:ind w:left="1080"/>
        <w:jc w:val="both"/>
        <w:rPr>
          <w:rFonts w:ascii="Arial" w:eastAsia="Arial" w:hAnsi="Arial" w:cs="Arial"/>
          <w:color w:val="FFFFFF"/>
          <w:sz w:val="24"/>
          <w:szCs w:val="24"/>
        </w:rPr>
      </w:pPr>
    </w:p>
    <w:p w:rsidR="008320AF" w:rsidRDefault="00087C40">
      <w:pPr>
        <w:keepNext/>
        <w:pageBreakBefore/>
        <w:widowControl/>
        <w:pBdr>
          <w:top w:val="nil"/>
          <w:left w:val="nil"/>
          <w:bottom w:val="nil"/>
          <w:right w:val="nil"/>
          <w:between w:val="nil"/>
        </w:pBdr>
        <w:spacing w:before="240" w:after="240"/>
        <w:rPr>
          <w:rFonts w:ascii="Arial Bold" w:eastAsia="Arial Bold" w:hAnsi="Arial Bold" w:cs="Arial Bold"/>
          <w:b/>
          <w:color w:val="000000"/>
          <w:sz w:val="36"/>
          <w:szCs w:val="36"/>
        </w:rPr>
      </w:pPr>
      <w:r>
        <w:rPr>
          <w:rFonts w:ascii="Arial Bold" w:eastAsia="Arial Bold" w:hAnsi="Arial Bold" w:cs="Arial Bold"/>
          <w:b/>
          <w:color w:val="000000"/>
          <w:sz w:val="36"/>
          <w:szCs w:val="36"/>
        </w:rPr>
        <w:t>Annex B: Further Competition Award Criteria</w:t>
      </w:r>
    </w:p>
    <w:p w:rsidR="008320AF" w:rsidRDefault="00087C40">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a"/>
        <w:tblW w:w="9016" w:type="dxa"/>
        <w:tblLayout w:type="fixed"/>
        <w:tblLook w:val="0400" w:firstRow="0" w:lastRow="0" w:firstColumn="0" w:lastColumn="0" w:noHBand="0" w:noVBand="1"/>
      </w:tblPr>
      <w:tblGrid>
        <w:gridCol w:w="1245"/>
        <w:gridCol w:w="2719"/>
        <w:gridCol w:w="5052"/>
      </w:tblGrid>
      <w:tr w:rsidR="008320AF">
        <w:trPr>
          <w:trHeight w:val="734"/>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jc w:val="center"/>
              <w:rPr>
                <w:rFonts w:ascii="Times New Roman" w:eastAsia="Times New Roman" w:hAnsi="Times New Roman" w:cs="Times New Roman"/>
                <w:sz w:val="24"/>
                <w:szCs w:val="24"/>
              </w:rPr>
            </w:pPr>
            <w:r>
              <w:rPr>
                <w:color w:val="000000"/>
                <w:sz w:val="24"/>
                <w:szCs w:val="24"/>
              </w:rPr>
              <w:t xml:space="preserve">   </w:t>
            </w:r>
            <w:r>
              <w:rPr>
                <w:b/>
                <w:color w:val="000000"/>
                <w:sz w:val="24"/>
                <w:szCs w:val="24"/>
              </w:rPr>
              <w:t>LOT 1 Water Supply and Sewerage Services</w:t>
            </w:r>
          </w:p>
        </w:tc>
      </w:tr>
      <w:tr w:rsidR="008320AF">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ind w:left="142"/>
              <w:rPr>
                <w:rFonts w:ascii="Times New Roman" w:eastAsia="Times New Roman" w:hAnsi="Times New Roman" w:cs="Times New Roman"/>
                <w:sz w:val="24"/>
                <w:szCs w:val="24"/>
              </w:rPr>
            </w:pPr>
            <w:r>
              <w:rPr>
                <w:b/>
                <w:color w:val="000000"/>
              </w:rPr>
              <w:t>Criteria Number</w:t>
            </w:r>
          </w:p>
        </w:tc>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ind w:left="142"/>
              <w:rPr>
                <w:rFonts w:ascii="Times New Roman" w:eastAsia="Times New Roman" w:hAnsi="Times New Roman" w:cs="Times New Roman"/>
                <w:sz w:val="24"/>
                <w:szCs w:val="24"/>
              </w:rPr>
            </w:pPr>
            <w:r>
              <w:rPr>
                <w:b/>
                <w:color w:val="000000"/>
              </w:rPr>
              <w:t>Criteria</w:t>
            </w:r>
          </w:p>
        </w:tc>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ind w:left="142"/>
              <w:jc w:val="both"/>
              <w:rPr>
                <w:rFonts w:ascii="Times New Roman" w:eastAsia="Times New Roman" w:hAnsi="Times New Roman" w:cs="Times New Roman"/>
                <w:sz w:val="24"/>
                <w:szCs w:val="24"/>
              </w:rPr>
            </w:pPr>
            <w:r>
              <w:rPr>
                <w:b/>
                <w:color w:val="000000"/>
              </w:rPr>
              <w:t>Percentage Weightings (or rank order of importance where applicable) - to be set by the Contracting Authority conducting the further competition </w:t>
            </w:r>
          </w:p>
        </w:tc>
      </w:tr>
      <w:tr w:rsidR="008320AF">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rPr>
                <w:rFonts w:ascii="Times New Roman" w:eastAsia="Times New Roman" w:hAnsi="Times New Roman" w:cs="Times New Roman"/>
                <w:sz w:val="24"/>
                <w:szCs w:val="24"/>
              </w:rPr>
            </w:pPr>
            <w:r>
              <w:rPr>
                <w:color w:val="000000"/>
              </w:rPr>
              <w:t>  Price </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80% (+/- 10%)</w:t>
            </w: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Supply of Water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At least 30%</w:t>
            </w: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Waste Water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At least 30%</w:t>
            </w:r>
          </w:p>
        </w:tc>
      </w:tr>
      <w:tr w:rsidR="008320AF">
        <w:trPr>
          <w:trHeight w:val="48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Trade Effluent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Optional </w:t>
            </w: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Payment terms (optional)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Optional </w:t>
            </w: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Rebate (optional)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Optional </w:t>
            </w:r>
          </w:p>
        </w:tc>
      </w:tr>
      <w:tr w:rsidR="008320AF">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Quality</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20% (+/- 10%)</w:t>
            </w: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F</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Account Management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Billing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Data Management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320AF" w:rsidRDefault="00087C40">
            <w:pPr>
              <w:widowControl/>
              <w:rPr>
                <w:rFonts w:ascii="Times New Roman" w:eastAsia="Times New Roman" w:hAnsi="Times New Roman" w:cs="Times New Roman"/>
                <w:sz w:val="24"/>
                <w:szCs w:val="24"/>
              </w:rPr>
            </w:pPr>
            <w:r>
              <w:rPr>
                <w:color w:val="000000"/>
              </w:rPr>
              <w:t>  Metering </w:t>
            </w:r>
          </w:p>
          <w:p w:rsidR="008320AF" w:rsidRDefault="00087C40">
            <w:pPr>
              <w:widowControl/>
              <w:rPr>
                <w:rFonts w:ascii="Times New Roman" w:eastAsia="Times New Roman" w:hAnsi="Times New Roman" w:cs="Times New Roman"/>
                <w:sz w:val="24"/>
                <w:szCs w:val="24"/>
              </w:rPr>
            </w:pPr>
            <w:r>
              <w:rPr>
                <w:color w:val="000000"/>
              </w:rPr>
              <w:t>  (to include AMR where required)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J</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after="240"/>
              <w:jc w:val="both"/>
              <w:rPr>
                <w:rFonts w:ascii="Times New Roman" w:eastAsia="Times New Roman" w:hAnsi="Times New Roman" w:cs="Times New Roman"/>
                <w:sz w:val="24"/>
                <w:szCs w:val="24"/>
              </w:rPr>
            </w:pPr>
            <w:r>
              <w:rPr>
                <w:color w:val="000000"/>
              </w:rPr>
              <w:t>  Switching Process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K</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320AF" w:rsidRDefault="00087C40">
            <w:pPr>
              <w:widowControl/>
              <w:spacing w:after="240"/>
              <w:jc w:val="both"/>
              <w:rPr>
                <w:rFonts w:ascii="Times New Roman" w:eastAsia="Times New Roman" w:hAnsi="Times New Roman" w:cs="Times New Roman"/>
                <w:sz w:val="24"/>
                <w:szCs w:val="24"/>
              </w:rPr>
            </w:pPr>
            <w:r>
              <w:rPr>
                <w:color w:val="000000"/>
              </w:rPr>
              <w:t>  Innovation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8320AF">
            <w:pPr>
              <w:widowControl/>
              <w:rPr>
                <w:rFonts w:ascii="Times New Roman" w:eastAsia="Times New Roman" w:hAnsi="Times New Roman" w:cs="Times New Roman"/>
                <w:sz w:val="24"/>
                <w:szCs w:val="24"/>
              </w:rPr>
            </w:pPr>
          </w:p>
        </w:tc>
      </w:tr>
    </w:tbl>
    <w:p w:rsidR="008320AF" w:rsidRDefault="008320AF">
      <w:pPr>
        <w:widowControl/>
        <w:rPr>
          <w:rFonts w:ascii="Times New Roman" w:eastAsia="Times New Roman" w:hAnsi="Times New Roman" w:cs="Times New Roman"/>
          <w:sz w:val="24"/>
          <w:szCs w:val="24"/>
        </w:rPr>
      </w:pPr>
    </w:p>
    <w:p w:rsidR="008320AF" w:rsidRDefault="008320AF">
      <w:pPr>
        <w:widowControl/>
        <w:rPr>
          <w:rFonts w:ascii="Times New Roman" w:eastAsia="Times New Roman" w:hAnsi="Times New Roman" w:cs="Times New Roman"/>
          <w:sz w:val="24"/>
          <w:szCs w:val="24"/>
        </w:rPr>
      </w:pPr>
    </w:p>
    <w:p w:rsidR="008320AF" w:rsidRDefault="008320AF">
      <w:pPr>
        <w:widowControl/>
        <w:rPr>
          <w:rFonts w:ascii="Times New Roman" w:eastAsia="Times New Roman" w:hAnsi="Times New Roman" w:cs="Times New Roman"/>
          <w:sz w:val="24"/>
          <w:szCs w:val="24"/>
        </w:rPr>
      </w:pPr>
    </w:p>
    <w:p w:rsidR="008320AF" w:rsidRDefault="008320AF">
      <w:pPr>
        <w:widowControl/>
        <w:rPr>
          <w:rFonts w:ascii="Times New Roman" w:eastAsia="Times New Roman" w:hAnsi="Times New Roman" w:cs="Times New Roman"/>
          <w:sz w:val="24"/>
          <w:szCs w:val="24"/>
        </w:rPr>
      </w:pPr>
    </w:p>
    <w:p w:rsidR="008320AF" w:rsidRDefault="008320AF">
      <w:pPr>
        <w:widowControl/>
        <w:rPr>
          <w:rFonts w:ascii="Times New Roman" w:eastAsia="Times New Roman" w:hAnsi="Times New Roman" w:cs="Times New Roman"/>
          <w:sz w:val="24"/>
          <w:szCs w:val="24"/>
        </w:rPr>
      </w:pPr>
    </w:p>
    <w:tbl>
      <w:tblPr>
        <w:tblStyle w:val="a0"/>
        <w:tblW w:w="9016" w:type="dxa"/>
        <w:tblLayout w:type="fixed"/>
        <w:tblLook w:val="0400" w:firstRow="0" w:lastRow="0" w:firstColumn="0" w:lastColumn="0" w:noHBand="0" w:noVBand="1"/>
      </w:tblPr>
      <w:tblGrid>
        <w:gridCol w:w="1227"/>
        <w:gridCol w:w="2093"/>
        <w:gridCol w:w="5696"/>
      </w:tblGrid>
      <w:tr w:rsidR="008320AF">
        <w:trPr>
          <w:trHeight w:val="667"/>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ind w:left="142"/>
              <w:jc w:val="center"/>
              <w:rPr>
                <w:rFonts w:ascii="Times New Roman" w:eastAsia="Times New Roman" w:hAnsi="Times New Roman" w:cs="Times New Roman"/>
                <w:sz w:val="24"/>
                <w:szCs w:val="24"/>
              </w:rPr>
            </w:pPr>
            <w:r>
              <w:rPr>
                <w:b/>
                <w:color w:val="000000"/>
                <w:sz w:val="24"/>
                <w:szCs w:val="24"/>
              </w:rPr>
              <w:t>LOT 2 Ancillary Services</w:t>
            </w:r>
          </w:p>
        </w:tc>
      </w:tr>
      <w:tr w:rsidR="008320AF">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ind w:left="142"/>
              <w:rPr>
                <w:rFonts w:ascii="Times New Roman" w:eastAsia="Times New Roman" w:hAnsi="Times New Roman" w:cs="Times New Roman"/>
                <w:sz w:val="24"/>
                <w:szCs w:val="24"/>
              </w:rPr>
            </w:pPr>
            <w:r>
              <w:rPr>
                <w:b/>
                <w:color w:val="000000"/>
              </w:rPr>
              <w:t>Criteria Number</w:t>
            </w:r>
          </w:p>
        </w:tc>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ind w:left="142"/>
              <w:rPr>
                <w:rFonts w:ascii="Times New Roman" w:eastAsia="Times New Roman" w:hAnsi="Times New Roman" w:cs="Times New Roman"/>
                <w:sz w:val="24"/>
                <w:szCs w:val="24"/>
              </w:rPr>
            </w:pPr>
            <w:r>
              <w:rPr>
                <w:b/>
                <w:color w:val="000000"/>
              </w:rPr>
              <w:t>Criteria</w:t>
            </w:r>
          </w:p>
        </w:tc>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ind w:left="142"/>
              <w:jc w:val="both"/>
              <w:rPr>
                <w:rFonts w:ascii="Times New Roman" w:eastAsia="Times New Roman" w:hAnsi="Times New Roman" w:cs="Times New Roman"/>
                <w:sz w:val="24"/>
                <w:szCs w:val="24"/>
              </w:rPr>
            </w:pPr>
            <w:r>
              <w:rPr>
                <w:b/>
                <w:color w:val="000000"/>
              </w:rPr>
              <w:t>Percentage Weightings (or rank order of importance where applicable) - to be set by the Contracting Authority conducting the further competition </w:t>
            </w:r>
          </w:p>
        </w:tc>
      </w:tr>
      <w:tr w:rsidR="008320AF">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Price </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20% (+/- 10%)</w:t>
            </w: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Price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8320AF">
            <w:pPr>
              <w:widowControl/>
              <w:rPr>
                <w:rFonts w:ascii="Times New Roman" w:eastAsia="Times New Roman" w:hAnsi="Times New Roman" w:cs="Times New Roman"/>
                <w:sz w:val="24"/>
                <w:szCs w:val="24"/>
              </w:rPr>
            </w:pPr>
          </w:p>
        </w:tc>
      </w:tr>
      <w:tr w:rsidR="008320AF">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Quality</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80% (+/- 10%)</w:t>
            </w: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Project management process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Baselining Methodology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rPr>
                <w:rFonts w:ascii="Times New Roman" w:eastAsia="Times New Roman" w:hAnsi="Times New Roman" w:cs="Times New Roman"/>
                <w:sz w:val="24"/>
                <w:szCs w:val="24"/>
              </w:rPr>
            </w:pPr>
            <w:r>
              <w:rPr>
                <w:color w:val="000000"/>
              </w:rPr>
              <w:t xml:space="preserve">   Monitoring and control systems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E</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320AF" w:rsidRDefault="00087C40">
            <w:pPr>
              <w:widowControl/>
              <w:rPr>
                <w:rFonts w:ascii="Times New Roman" w:eastAsia="Times New Roman" w:hAnsi="Times New Roman" w:cs="Times New Roman"/>
                <w:sz w:val="24"/>
                <w:szCs w:val="24"/>
              </w:rPr>
            </w:pPr>
            <w:r>
              <w:rPr>
                <w:color w:val="000000"/>
              </w:rPr>
              <w:t>  Verification of savings process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F</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after="240"/>
              <w:rPr>
                <w:rFonts w:ascii="Times New Roman" w:eastAsia="Times New Roman" w:hAnsi="Times New Roman" w:cs="Times New Roman"/>
                <w:sz w:val="24"/>
                <w:szCs w:val="24"/>
              </w:rPr>
            </w:pPr>
            <w:r>
              <w:rPr>
                <w:color w:val="000000"/>
              </w:rPr>
              <w:t>  Account management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G</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320AF" w:rsidRDefault="00087C40">
            <w:pPr>
              <w:widowControl/>
              <w:spacing w:after="240"/>
              <w:rPr>
                <w:rFonts w:ascii="Times New Roman" w:eastAsia="Times New Roman" w:hAnsi="Times New Roman" w:cs="Times New Roman"/>
                <w:sz w:val="24"/>
                <w:szCs w:val="24"/>
              </w:rPr>
            </w:pPr>
            <w:r>
              <w:rPr>
                <w:color w:val="000000"/>
              </w:rPr>
              <w:t>  Service Management Standards (i.e ISO)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Optional</w:t>
            </w:r>
          </w:p>
        </w:tc>
      </w:tr>
    </w:tbl>
    <w:p w:rsidR="008320AF" w:rsidRDefault="00087C40">
      <w:pPr>
        <w:widowControl/>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r>
        <w:rPr>
          <w:rFonts w:ascii="Times New Roman" w:eastAsia="Times New Roman" w:hAnsi="Times New Roman" w:cs="Times New Roman"/>
          <w:sz w:val="24"/>
          <w:szCs w:val="24"/>
        </w:rPr>
        <w:br/>
      </w:r>
    </w:p>
    <w:p w:rsidR="008320AF" w:rsidRDefault="008320AF">
      <w:pPr>
        <w:widowControl/>
        <w:spacing w:after="240"/>
        <w:jc w:val="both"/>
        <w:rPr>
          <w:color w:val="000000"/>
          <w:sz w:val="24"/>
          <w:szCs w:val="24"/>
        </w:rPr>
      </w:pPr>
    </w:p>
    <w:p w:rsidR="008320AF" w:rsidRDefault="008320AF">
      <w:pPr>
        <w:widowControl/>
        <w:spacing w:after="240"/>
        <w:jc w:val="both"/>
        <w:rPr>
          <w:color w:val="000000"/>
          <w:sz w:val="24"/>
          <w:szCs w:val="24"/>
        </w:rPr>
      </w:pPr>
    </w:p>
    <w:p w:rsidR="008320AF" w:rsidRDefault="008320AF">
      <w:pPr>
        <w:widowControl/>
        <w:spacing w:after="240"/>
        <w:jc w:val="both"/>
        <w:rPr>
          <w:color w:val="000000"/>
          <w:sz w:val="24"/>
          <w:szCs w:val="24"/>
        </w:rPr>
      </w:pPr>
    </w:p>
    <w:p w:rsidR="008320AF" w:rsidRDefault="00087C40">
      <w:pPr>
        <w:widowControl/>
        <w:spacing w:after="240"/>
        <w:jc w:val="both"/>
        <w:rPr>
          <w:rFonts w:ascii="Times New Roman" w:eastAsia="Times New Roman" w:hAnsi="Times New Roman" w:cs="Times New Roman"/>
          <w:sz w:val="24"/>
          <w:szCs w:val="24"/>
        </w:rPr>
      </w:pPr>
      <w:r>
        <w:rPr>
          <w:color w:val="000000"/>
          <w:sz w:val="24"/>
          <w:szCs w:val="24"/>
        </w:rPr>
        <w:t>For Lot 3 only: Customer to determine weighting for supply (Lot1 questions) v ancillary (Lot2 questions)  </w:t>
      </w:r>
    </w:p>
    <w:tbl>
      <w:tblPr>
        <w:tblStyle w:val="a1"/>
        <w:tblW w:w="9016" w:type="dxa"/>
        <w:tblLayout w:type="fixed"/>
        <w:tblLook w:val="0400" w:firstRow="0" w:lastRow="0" w:firstColumn="0" w:lastColumn="0" w:noHBand="0" w:noVBand="1"/>
      </w:tblPr>
      <w:tblGrid>
        <w:gridCol w:w="1231"/>
        <w:gridCol w:w="2733"/>
        <w:gridCol w:w="5052"/>
      </w:tblGrid>
      <w:tr w:rsidR="008320AF">
        <w:trPr>
          <w:trHeight w:val="667"/>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ind w:left="142"/>
              <w:jc w:val="center"/>
              <w:rPr>
                <w:rFonts w:ascii="Times New Roman" w:eastAsia="Times New Roman" w:hAnsi="Times New Roman" w:cs="Times New Roman"/>
                <w:sz w:val="24"/>
                <w:szCs w:val="24"/>
              </w:rPr>
            </w:pPr>
            <w:r>
              <w:rPr>
                <w:b/>
                <w:color w:val="000000"/>
                <w:sz w:val="24"/>
                <w:szCs w:val="24"/>
              </w:rPr>
              <w:t>LOT 3 Water Supply and Sewerage Services and Water Ancillary Services</w:t>
            </w:r>
          </w:p>
        </w:tc>
      </w:tr>
      <w:tr w:rsidR="008320AF">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ind w:left="142"/>
              <w:rPr>
                <w:rFonts w:ascii="Times New Roman" w:eastAsia="Times New Roman" w:hAnsi="Times New Roman" w:cs="Times New Roman"/>
                <w:sz w:val="24"/>
                <w:szCs w:val="24"/>
              </w:rPr>
            </w:pPr>
            <w:r>
              <w:rPr>
                <w:b/>
                <w:color w:val="000000"/>
              </w:rPr>
              <w:t>Criteria Number</w:t>
            </w:r>
          </w:p>
        </w:tc>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ind w:left="142"/>
              <w:rPr>
                <w:rFonts w:ascii="Times New Roman" w:eastAsia="Times New Roman" w:hAnsi="Times New Roman" w:cs="Times New Roman"/>
                <w:sz w:val="24"/>
                <w:szCs w:val="24"/>
              </w:rPr>
            </w:pPr>
            <w:r>
              <w:rPr>
                <w:b/>
                <w:color w:val="000000"/>
              </w:rPr>
              <w:t>Criteria</w:t>
            </w:r>
          </w:p>
        </w:tc>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ind w:left="142"/>
              <w:jc w:val="both"/>
              <w:rPr>
                <w:rFonts w:ascii="Times New Roman" w:eastAsia="Times New Roman" w:hAnsi="Times New Roman" w:cs="Times New Roman"/>
                <w:sz w:val="24"/>
                <w:szCs w:val="24"/>
              </w:rPr>
            </w:pPr>
            <w:r>
              <w:rPr>
                <w:b/>
                <w:color w:val="000000"/>
              </w:rPr>
              <w:t>Percentage Weightings (or rank order of importance wh</w:t>
            </w:r>
            <w:r>
              <w:rPr>
                <w:b/>
                <w:color w:val="000000"/>
              </w:rPr>
              <w:t>ere applicable) - to be set by the Contracting Authority conducting the further competition </w:t>
            </w:r>
          </w:p>
        </w:tc>
      </w:tr>
      <w:tr w:rsidR="008320AF">
        <w:tc>
          <w:tcPr>
            <w:tcW w:w="0" w:type="auto"/>
            <w:gridSpan w:val="3"/>
            <w:tcBorders>
              <w:top w:val="single" w:sz="4" w:space="0" w:color="000000"/>
              <w:left w:val="single" w:sz="4" w:space="0" w:color="000000"/>
              <w:bottom w:val="single" w:sz="4" w:space="0" w:color="000000"/>
              <w:right w:val="single" w:sz="4" w:space="0" w:color="000000"/>
            </w:tcBorders>
            <w:shd w:val="clear" w:color="auto" w:fill="FFF2CC"/>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b/>
                <w:color w:val="000000"/>
                <w:sz w:val="24"/>
                <w:szCs w:val="24"/>
              </w:rPr>
              <w:t>Section A: Water Supply and Sewerage Services</w:t>
            </w:r>
          </w:p>
        </w:tc>
      </w:tr>
      <w:tr w:rsidR="008320AF">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rPr>
                <w:rFonts w:ascii="Times New Roman" w:eastAsia="Times New Roman" w:hAnsi="Times New Roman" w:cs="Times New Roman"/>
                <w:sz w:val="24"/>
                <w:szCs w:val="24"/>
              </w:rPr>
            </w:pPr>
            <w:r>
              <w:rPr>
                <w:color w:val="000000"/>
              </w:rPr>
              <w:t>  Price </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20% (+/- 10%)</w:t>
            </w: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A</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Supply of Water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At least 30%</w:t>
            </w: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B</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Waste Water</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At least 30%</w:t>
            </w: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Trade Effluent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Optional </w:t>
            </w: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Payment terms (optional)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Optional </w:t>
            </w: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E</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Rebate (optional)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Optional </w:t>
            </w:r>
          </w:p>
        </w:tc>
      </w:tr>
      <w:tr w:rsidR="008320AF">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Quality</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80% (+/- 10%)</w:t>
            </w: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F</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Account Management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G</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Billing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H</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Data Management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I</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320AF" w:rsidRDefault="00087C40">
            <w:pPr>
              <w:widowControl/>
              <w:rPr>
                <w:rFonts w:ascii="Times New Roman" w:eastAsia="Times New Roman" w:hAnsi="Times New Roman" w:cs="Times New Roman"/>
                <w:sz w:val="24"/>
                <w:szCs w:val="24"/>
              </w:rPr>
            </w:pPr>
            <w:r>
              <w:rPr>
                <w:color w:val="000000"/>
              </w:rPr>
              <w:t>  Metering </w:t>
            </w:r>
          </w:p>
          <w:p w:rsidR="008320AF" w:rsidRDefault="00087C40">
            <w:pPr>
              <w:widowControl/>
              <w:rPr>
                <w:rFonts w:ascii="Times New Roman" w:eastAsia="Times New Roman" w:hAnsi="Times New Roman" w:cs="Times New Roman"/>
                <w:sz w:val="24"/>
                <w:szCs w:val="24"/>
              </w:rPr>
            </w:pPr>
            <w:r>
              <w:rPr>
                <w:color w:val="000000"/>
              </w:rPr>
              <w:t>  (to include AMR where    required)</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J</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after="240"/>
              <w:jc w:val="both"/>
              <w:rPr>
                <w:rFonts w:ascii="Times New Roman" w:eastAsia="Times New Roman" w:hAnsi="Times New Roman" w:cs="Times New Roman"/>
                <w:sz w:val="24"/>
                <w:szCs w:val="24"/>
              </w:rPr>
            </w:pPr>
            <w:r>
              <w:rPr>
                <w:color w:val="000000"/>
              </w:rPr>
              <w:t>  Switching Process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K</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320AF" w:rsidRDefault="00087C40">
            <w:pPr>
              <w:widowControl/>
              <w:spacing w:after="240"/>
              <w:jc w:val="both"/>
              <w:rPr>
                <w:rFonts w:ascii="Times New Roman" w:eastAsia="Times New Roman" w:hAnsi="Times New Roman" w:cs="Times New Roman"/>
                <w:sz w:val="24"/>
                <w:szCs w:val="24"/>
              </w:rPr>
            </w:pPr>
            <w:r>
              <w:rPr>
                <w:color w:val="000000"/>
              </w:rPr>
              <w:t>  Innovation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8320AF">
            <w:pPr>
              <w:widowControl/>
              <w:rPr>
                <w:rFonts w:ascii="Times New Roman" w:eastAsia="Times New Roman" w:hAnsi="Times New Roman" w:cs="Times New Roman"/>
                <w:sz w:val="24"/>
                <w:szCs w:val="24"/>
              </w:rPr>
            </w:pPr>
          </w:p>
        </w:tc>
      </w:tr>
    </w:tbl>
    <w:p w:rsidR="008320AF" w:rsidRDefault="008320AF">
      <w:pPr>
        <w:widowControl/>
        <w:spacing w:after="240"/>
        <w:rPr>
          <w:rFonts w:ascii="Times New Roman" w:eastAsia="Times New Roman" w:hAnsi="Times New Roman" w:cs="Times New Roman"/>
          <w:sz w:val="24"/>
          <w:szCs w:val="24"/>
        </w:rPr>
      </w:pPr>
    </w:p>
    <w:p w:rsidR="008320AF" w:rsidRDefault="008320AF">
      <w:pPr>
        <w:widowControl/>
        <w:spacing w:after="240"/>
        <w:rPr>
          <w:rFonts w:ascii="Times New Roman" w:eastAsia="Times New Roman" w:hAnsi="Times New Roman" w:cs="Times New Roman"/>
          <w:sz w:val="24"/>
          <w:szCs w:val="24"/>
        </w:rPr>
      </w:pPr>
    </w:p>
    <w:p w:rsidR="008320AF" w:rsidRDefault="008320AF">
      <w:pPr>
        <w:widowControl/>
        <w:spacing w:after="240"/>
        <w:rPr>
          <w:rFonts w:ascii="Times New Roman" w:eastAsia="Times New Roman" w:hAnsi="Times New Roman" w:cs="Times New Roman"/>
          <w:sz w:val="24"/>
          <w:szCs w:val="24"/>
        </w:rPr>
      </w:pPr>
    </w:p>
    <w:p w:rsidR="008320AF" w:rsidRDefault="008320AF">
      <w:pPr>
        <w:widowControl/>
        <w:spacing w:after="240"/>
        <w:rPr>
          <w:rFonts w:ascii="Times New Roman" w:eastAsia="Times New Roman" w:hAnsi="Times New Roman" w:cs="Times New Roman"/>
          <w:sz w:val="24"/>
          <w:szCs w:val="24"/>
        </w:rPr>
      </w:pPr>
    </w:p>
    <w:p w:rsidR="008320AF" w:rsidRDefault="008320AF">
      <w:pPr>
        <w:widowControl/>
        <w:spacing w:after="240"/>
        <w:rPr>
          <w:rFonts w:ascii="Times New Roman" w:eastAsia="Times New Roman" w:hAnsi="Times New Roman" w:cs="Times New Roman"/>
          <w:sz w:val="24"/>
          <w:szCs w:val="24"/>
        </w:rPr>
      </w:pPr>
    </w:p>
    <w:tbl>
      <w:tblPr>
        <w:tblStyle w:val="a2"/>
        <w:tblW w:w="9016" w:type="dxa"/>
        <w:tblLayout w:type="fixed"/>
        <w:tblLook w:val="0400" w:firstRow="0" w:lastRow="0" w:firstColumn="0" w:lastColumn="0" w:noHBand="0" w:noVBand="1"/>
      </w:tblPr>
      <w:tblGrid>
        <w:gridCol w:w="1227"/>
        <w:gridCol w:w="2596"/>
        <w:gridCol w:w="5193"/>
      </w:tblGrid>
      <w:tr w:rsidR="008320AF">
        <w:trPr>
          <w:trHeight w:val="667"/>
        </w:trPr>
        <w:tc>
          <w:tcPr>
            <w:tcW w:w="0" w:type="auto"/>
            <w:gridSpan w:val="3"/>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ind w:left="142"/>
              <w:jc w:val="center"/>
              <w:rPr>
                <w:rFonts w:ascii="Times New Roman" w:eastAsia="Times New Roman" w:hAnsi="Times New Roman" w:cs="Times New Roman"/>
                <w:sz w:val="24"/>
                <w:szCs w:val="24"/>
              </w:rPr>
            </w:pPr>
            <w:r>
              <w:rPr>
                <w:b/>
                <w:color w:val="000000"/>
                <w:sz w:val="24"/>
                <w:szCs w:val="24"/>
              </w:rPr>
              <w:t>LOT 3 Water Supply and Sewerage Services and Water Ancillary Services</w:t>
            </w:r>
          </w:p>
        </w:tc>
      </w:tr>
      <w:tr w:rsidR="008320AF">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ind w:left="142"/>
              <w:rPr>
                <w:rFonts w:ascii="Times New Roman" w:eastAsia="Times New Roman" w:hAnsi="Times New Roman" w:cs="Times New Roman"/>
                <w:sz w:val="24"/>
                <w:szCs w:val="24"/>
              </w:rPr>
            </w:pPr>
            <w:r>
              <w:rPr>
                <w:b/>
                <w:color w:val="000000"/>
              </w:rPr>
              <w:t>Criteria Number</w:t>
            </w:r>
          </w:p>
        </w:tc>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ind w:left="142"/>
              <w:rPr>
                <w:rFonts w:ascii="Times New Roman" w:eastAsia="Times New Roman" w:hAnsi="Times New Roman" w:cs="Times New Roman"/>
                <w:sz w:val="24"/>
                <w:szCs w:val="24"/>
              </w:rPr>
            </w:pPr>
            <w:r>
              <w:rPr>
                <w:b/>
                <w:color w:val="000000"/>
              </w:rPr>
              <w:t>Criteria</w:t>
            </w:r>
          </w:p>
        </w:tc>
        <w:tc>
          <w:tcPr>
            <w:tcW w:w="0" w:type="auto"/>
            <w:tcBorders>
              <w:top w:val="single" w:sz="4" w:space="0" w:color="000000"/>
              <w:left w:val="single" w:sz="4" w:space="0" w:color="000000"/>
              <w:bottom w:val="single" w:sz="4" w:space="0" w:color="000000"/>
              <w:right w:val="single" w:sz="4" w:space="0" w:color="000000"/>
            </w:tcBorders>
            <w:shd w:val="clear" w:color="auto" w:fill="EEECE1"/>
            <w:tcMar>
              <w:top w:w="0" w:type="dxa"/>
              <w:left w:w="115" w:type="dxa"/>
              <w:bottom w:w="0" w:type="dxa"/>
              <w:right w:w="115" w:type="dxa"/>
            </w:tcMar>
          </w:tcPr>
          <w:p w:rsidR="008320AF" w:rsidRDefault="00087C40">
            <w:pPr>
              <w:widowControl/>
              <w:spacing w:before="240"/>
              <w:ind w:left="142"/>
              <w:jc w:val="both"/>
              <w:rPr>
                <w:rFonts w:ascii="Times New Roman" w:eastAsia="Times New Roman" w:hAnsi="Times New Roman" w:cs="Times New Roman"/>
                <w:sz w:val="24"/>
                <w:szCs w:val="24"/>
              </w:rPr>
            </w:pPr>
            <w:r>
              <w:rPr>
                <w:b/>
                <w:color w:val="000000"/>
              </w:rPr>
              <w:t>Percentage Weightings (or rank order of importance where applicable) - to be set by the Contracting Authority conducting the further competition </w:t>
            </w:r>
          </w:p>
        </w:tc>
      </w:tr>
      <w:tr w:rsidR="008320AF">
        <w:tc>
          <w:tcPr>
            <w:tcW w:w="0" w:type="auto"/>
            <w:gridSpan w:val="3"/>
            <w:tcBorders>
              <w:top w:val="single" w:sz="4" w:space="0" w:color="000000"/>
              <w:left w:val="single" w:sz="4" w:space="0" w:color="000000"/>
              <w:bottom w:val="single" w:sz="4" w:space="0" w:color="000000"/>
              <w:right w:val="single" w:sz="4" w:space="0" w:color="000000"/>
            </w:tcBorders>
            <w:shd w:val="clear" w:color="auto" w:fill="FFF2CC"/>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b/>
                <w:color w:val="000000"/>
                <w:sz w:val="24"/>
                <w:szCs w:val="24"/>
              </w:rPr>
              <w:t>Section B: Ancillary Services</w:t>
            </w:r>
          </w:p>
        </w:tc>
      </w:tr>
      <w:tr w:rsidR="008320AF">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Price </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20% (+/- 10%)</w:t>
            </w: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L</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Price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8320AF" w:rsidRDefault="008320AF">
            <w:pPr>
              <w:widowControl/>
              <w:rPr>
                <w:rFonts w:ascii="Times New Roman" w:eastAsia="Times New Roman" w:hAnsi="Times New Roman" w:cs="Times New Roman"/>
                <w:sz w:val="24"/>
                <w:szCs w:val="24"/>
              </w:rPr>
            </w:pPr>
          </w:p>
        </w:tc>
      </w:tr>
      <w:tr w:rsidR="008320AF">
        <w:tc>
          <w:tcPr>
            <w:tcW w:w="0" w:type="auto"/>
            <w:gridSpan w:val="2"/>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ind w:left="142"/>
              <w:rPr>
                <w:rFonts w:ascii="Times New Roman" w:eastAsia="Times New Roman" w:hAnsi="Times New Roman" w:cs="Times New Roman"/>
                <w:sz w:val="24"/>
                <w:szCs w:val="24"/>
              </w:rPr>
            </w:pPr>
            <w:r>
              <w:rPr>
                <w:color w:val="000000"/>
              </w:rPr>
              <w:t>Quality</w:t>
            </w:r>
          </w:p>
        </w:tc>
        <w:tc>
          <w:tcPr>
            <w:tcW w:w="0" w:type="auto"/>
            <w:tcBorders>
              <w:top w:val="single" w:sz="4" w:space="0" w:color="000000"/>
              <w:left w:val="single" w:sz="4" w:space="0" w:color="000000"/>
              <w:bottom w:val="single" w:sz="4" w:space="0" w:color="000000"/>
              <w:right w:val="single" w:sz="4" w:space="0" w:color="000000"/>
            </w:tcBorders>
            <w:shd w:val="clear" w:color="auto" w:fill="DEEBF6"/>
            <w:tcMar>
              <w:top w:w="0" w:type="dxa"/>
              <w:left w:w="115" w:type="dxa"/>
              <w:bottom w:w="0" w:type="dxa"/>
              <w:right w:w="115" w:type="dxa"/>
            </w:tcMar>
          </w:tcPr>
          <w:p w:rsidR="008320AF" w:rsidRDefault="00087C40">
            <w:pPr>
              <w:widowControl/>
              <w:spacing w:before="240" w:after="120"/>
              <w:ind w:left="142"/>
              <w:jc w:val="both"/>
              <w:rPr>
                <w:rFonts w:ascii="Times New Roman" w:eastAsia="Times New Roman" w:hAnsi="Times New Roman" w:cs="Times New Roman"/>
                <w:sz w:val="24"/>
                <w:szCs w:val="24"/>
              </w:rPr>
            </w:pPr>
            <w:r>
              <w:rPr>
                <w:color w:val="000000"/>
              </w:rPr>
              <w:t>80% (+/- 10%)</w:t>
            </w: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Project management process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Baselining Methodology</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rPr>
                <w:rFonts w:ascii="Times New Roman" w:eastAsia="Times New Roman" w:hAnsi="Times New Roman" w:cs="Times New Roman"/>
                <w:sz w:val="24"/>
                <w:szCs w:val="24"/>
              </w:rPr>
            </w:pPr>
            <w:r>
              <w:rPr>
                <w:color w:val="000000"/>
              </w:rPr>
              <w:t xml:space="preserve">   Monitoring and control systems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P</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320AF" w:rsidRDefault="00087C40">
            <w:pPr>
              <w:widowControl/>
              <w:rPr>
                <w:rFonts w:ascii="Times New Roman" w:eastAsia="Times New Roman" w:hAnsi="Times New Roman" w:cs="Times New Roman"/>
                <w:sz w:val="24"/>
                <w:szCs w:val="24"/>
              </w:rPr>
            </w:pPr>
            <w:r>
              <w:rPr>
                <w:color w:val="000000"/>
              </w:rPr>
              <w:t>  Verification of savings process</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Q</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after="240"/>
              <w:rPr>
                <w:rFonts w:ascii="Times New Roman" w:eastAsia="Times New Roman" w:hAnsi="Times New Roman" w:cs="Times New Roman"/>
                <w:sz w:val="24"/>
                <w:szCs w:val="24"/>
              </w:rPr>
            </w:pPr>
            <w:r>
              <w:rPr>
                <w:color w:val="000000"/>
              </w:rPr>
              <w:t>  Account management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8320AF">
            <w:pPr>
              <w:widowControl/>
              <w:rPr>
                <w:rFonts w:ascii="Times New Roman" w:eastAsia="Times New Roman" w:hAnsi="Times New Roman" w:cs="Times New Roman"/>
                <w:sz w:val="24"/>
                <w:szCs w:val="24"/>
              </w:rPr>
            </w:pPr>
          </w:p>
        </w:tc>
      </w:tr>
      <w:tr w:rsidR="008320A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R</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vAlign w:val="center"/>
          </w:tcPr>
          <w:p w:rsidR="008320AF" w:rsidRDefault="00087C40">
            <w:pPr>
              <w:widowControl/>
              <w:spacing w:after="240"/>
              <w:rPr>
                <w:rFonts w:ascii="Times New Roman" w:eastAsia="Times New Roman" w:hAnsi="Times New Roman" w:cs="Times New Roman"/>
                <w:sz w:val="24"/>
                <w:szCs w:val="24"/>
              </w:rPr>
            </w:pPr>
            <w:r>
              <w:rPr>
                <w:color w:val="000000"/>
              </w:rPr>
              <w:t>  Service Management Standards (i.e ISO)</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8320AF" w:rsidRDefault="00087C40">
            <w:pPr>
              <w:widowControl/>
              <w:spacing w:before="240" w:after="120"/>
              <w:ind w:left="142"/>
              <w:rPr>
                <w:rFonts w:ascii="Times New Roman" w:eastAsia="Times New Roman" w:hAnsi="Times New Roman" w:cs="Times New Roman"/>
                <w:sz w:val="24"/>
                <w:szCs w:val="24"/>
              </w:rPr>
            </w:pPr>
            <w:r>
              <w:rPr>
                <w:color w:val="000000"/>
              </w:rPr>
              <w:t>Optional</w:t>
            </w:r>
          </w:p>
        </w:tc>
      </w:tr>
    </w:tbl>
    <w:p w:rsidR="008320AF" w:rsidRDefault="008320AF">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8320AF" w:rsidRDefault="008320AF">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p w:rsidR="008320AF" w:rsidRDefault="008320AF">
      <w:pPr>
        <w:widowControl/>
        <w:pBdr>
          <w:top w:val="nil"/>
          <w:left w:val="nil"/>
          <w:bottom w:val="nil"/>
          <w:right w:val="nil"/>
          <w:between w:val="nil"/>
        </w:pBdr>
        <w:jc w:val="both"/>
        <w:rPr>
          <w:rFonts w:ascii="Arial" w:eastAsia="Arial" w:hAnsi="Arial" w:cs="Arial"/>
          <w:color w:val="FFFFFF"/>
          <w:sz w:val="24"/>
          <w:szCs w:val="24"/>
        </w:rPr>
        <w:sectPr w:rsidR="008320AF">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pPr>
    </w:p>
    <w:p w:rsidR="008320AF" w:rsidRDefault="008320AF">
      <w:pPr>
        <w:widowControl/>
        <w:pBdr>
          <w:top w:val="nil"/>
          <w:left w:val="nil"/>
          <w:bottom w:val="nil"/>
          <w:right w:val="nil"/>
          <w:between w:val="nil"/>
        </w:pBdr>
        <w:jc w:val="both"/>
        <w:rPr>
          <w:rFonts w:ascii="Arial" w:eastAsia="Arial" w:hAnsi="Arial" w:cs="Arial"/>
          <w:color w:val="FFFFFF"/>
          <w:sz w:val="24"/>
          <w:szCs w:val="24"/>
        </w:rPr>
      </w:pPr>
    </w:p>
    <w:sectPr w:rsidR="008320AF">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7C40" w:rsidRDefault="00087C40">
      <w:r>
        <w:separator/>
      </w:r>
    </w:p>
  </w:endnote>
  <w:endnote w:type="continuationSeparator" w:id="0">
    <w:p w:rsidR="00087C40" w:rsidRDefault="00087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0AF" w:rsidRDefault="008320AF">
    <w:pPr>
      <w:widowControl/>
      <w:pBdr>
        <w:top w:val="nil"/>
        <w:left w:val="nil"/>
        <w:bottom w:val="nil"/>
        <w:right w:val="nil"/>
        <w:between w:val="nil"/>
      </w:pBdr>
      <w:tabs>
        <w:tab w:val="center" w:pos="4513"/>
        <w:tab w:val="right" w:pos="9026"/>
      </w:tabs>
      <w:jc w:val="both"/>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0AF" w:rsidRDefault="00087C40">
    <w:pPr>
      <w:tabs>
        <w:tab w:val="center" w:pos="4513"/>
        <w:tab w:val="right" w:pos="9026"/>
      </w:tabs>
      <w:rPr>
        <w:rFonts w:ascii="Arial" w:eastAsia="Arial" w:hAnsi="Arial" w:cs="Arial"/>
        <w:sz w:val="20"/>
        <w:szCs w:val="20"/>
      </w:rPr>
    </w:pPr>
    <w:r>
      <w:rPr>
        <w:rFonts w:ascii="Arial" w:eastAsia="Arial" w:hAnsi="Arial" w:cs="Arial"/>
        <w:sz w:val="20"/>
        <w:szCs w:val="20"/>
      </w:rPr>
      <w:t>Framework Ref: RM6306 Water, Wastewater and Ancillary Services (3)</w:t>
    </w:r>
    <w:r>
      <w:rPr>
        <w:rFonts w:ascii="Arial" w:eastAsia="Arial" w:hAnsi="Arial" w:cs="Arial"/>
        <w:sz w:val="20"/>
        <w:szCs w:val="20"/>
      </w:rPr>
      <w:tab/>
      <w:t xml:space="preserve">                                           </w:t>
    </w:r>
  </w:p>
  <w:p w:rsidR="008320AF" w:rsidRDefault="00087C40">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sz w:val="20"/>
        <w:szCs w:val="20"/>
      </w:rPr>
      <w:t>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841837">
      <w:rPr>
        <w:rFonts w:ascii="Arial" w:eastAsia="Arial" w:hAnsi="Arial" w:cs="Arial"/>
        <w:color w:val="000000"/>
        <w:sz w:val="20"/>
        <w:szCs w:val="20"/>
      </w:rPr>
      <w:fldChar w:fldCharType="separate"/>
    </w:r>
    <w:r w:rsidR="00841837">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320AF" w:rsidRDefault="00087C40">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0AF" w:rsidRDefault="008320AF">
    <w:pPr>
      <w:widowControl/>
      <w:pBdr>
        <w:top w:val="nil"/>
        <w:left w:val="nil"/>
        <w:bottom w:val="nil"/>
        <w:right w:val="nil"/>
        <w:between w:val="nil"/>
      </w:pBdr>
      <w:tabs>
        <w:tab w:val="center" w:pos="4513"/>
        <w:tab w:val="right" w:pos="9026"/>
      </w:tabs>
      <w:jc w:val="both"/>
      <w:rPr>
        <w:color w:val="000000"/>
      </w:rPr>
    </w:pPr>
  </w:p>
  <w:p w:rsidR="008320AF" w:rsidRDefault="00087C40">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rsidR="008320AF" w:rsidRDefault="00087C40">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rsidR="008320AF" w:rsidRDefault="00087C40">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7C40" w:rsidRDefault="00087C40">
      <w:r>
        <w:separator/>
      </w:r>
    </w:p>
  </w:footnote>
  <w:footnote w:type="continuationSeparator" w:id="0">
    <w:p w:rsidR="00087C40" w:rsidRDefault="00087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0AF" w:rsidRDefault="008320AF">
    <w:pPr>
      <w:widowControl/>
      <w:pBdr>
        <w:top w:val="nil"/>
        <w:left w:val="nil"/>
        <w:bottom w:val="nil"/>
        <w:right w:val="nil"/>
        <w:between w:val="nil"/>
      </w:pBdr>
      <w:tabs>
        <w:tab w:val="center" w:pos="4513"/>
        <w:tab w:val="right" w:pos="9026"/>
      </w:tabs>
      <w:jc w:val="both"/>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0AF" w:rsidRDefault="00087C40">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rsidR="008320AF" w:rsidRDefault="00087C40">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20AF" w:rsidRDefault="00087C40">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rsidR="008320AF" w:rsidRDefault="00087C40">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rsidR="008320AF" w:rsidRDefault="008320AF">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6187D"/>
    <w:multiLevelType w:val="multilevel"/>
    <w:tmpl w:val="3EFA8526"/>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1" w15:restartNumberingAfterBreak="0">
    <w:nsid w:val="355E0600"/>
    <w:multiLevelType w:val="multilevel"/>
    <w:tmpl w:val="BE1E28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DF50A1"/>
    <w:multiLevelType w:val="multilevel"/>
    <w:tmpl w:val="D2E08B1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71756596"/>
    <w:multiLevelType w:val="multilevel"/>
    <w:tmpl w:val="0F8A9F68"/>
    <w:lvl w:ilvl="0">
      <w:start w:val="1"/>
      <w:numFmt w:val="decimal"/>
      <w:lvlText w:val="%1."/>
      <w:lvlJc w:val="left"/>
      <w:pPr>
        <w:ind w:left="360" w:hanging="360"/>
      </w:pPr>
      <w:rPr>
        <w:b/>
        <w:i w:val="0"/>
        <w:smallCaps w:val="0"/>
        <w:strike w:val="0"/>
        <w:color w:val="00000A"/>
        <w:sz w:val="22"/>
        <w:szCs w:val="22"/>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3"/>
  </w:num>
  <w:num w:numId="2">
    <w:abstractNumId w:val="2"/>
  </w:num>
  <w:num w:numId="3">
    <w:abstractNumId w:val="0"/>
  </w:num>
  <w:num w:numId="4">
    <w:abstractNumId w:val="1"/>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0AF"/>
    <w:rsid w:val="00087C40"/>
    <w:rsid w:val="008320AF"/>
    <w:rsid w:val="008418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96184D73-2BB9-4779-A108-80FDD1AEA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B95BDF"/>
    <w:pPr>
      <w:widowControl/>
      <w:spacing w:before="100" w:beforeAutospacing="1" w:after="100" w:afterAutospacing="1"/>
    </w:pPr>
    <w:rPr>
      <w:rFonts w:ascii="Times New Roman" w:eastAsia="Times New Roman" w:hAnsi="Times New Roman" w:cs="Times New Roman"/>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Ho+BXzmZDeSfVmexrxy+cfpZtg==">CgMxLjAyCmlkLjMwajB6bGwyCGguZ2pkZ3hzMgloLjFmb2I5dGUyCWguM3pueXNoNzIJaC4yZXQ5MnAwMghoLnR5amN3dDIJaC4zZHk2dmttMgloLjF0M2g1c2YyCWguNGQzNG9nODIJaC4yczhleW8xMgloLjE3ZHA4dnUyCWguM3JkY3JqbjgAciExRzRjNll4aGhEQ2QyWExRdS1EZlBBUVA0TWxwU0FWRkU=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2114</Words>
  <Characters>12056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Patricia Byrne</cp:lastModifiedBy>
  <cp:revision>2</cp:revision>
  <dcterms:created xsi:type="dcterms:W3CDTF">2024-07-31T09:14:00Z</dcterms:created>
  <dcterms:modified xsi:type="dcterms:W3CDTF">2024-07-31T09:14:00Z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